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55" w:rsidRPr="0062022A" w:rsidRDefault="00136255" w:rsidP="00136255">
      <w:pPr>
        <w:bidi/>
        <w:rPr>
          <w:rFonts w:cs="B Titr"/>
          <w:color w:val="FF0000"/>
          <w:sz w:val="28"/>
          <w:szCs w:val="28"/>
        </w:rPr>
      </w:pPr>
      <w:r w:rsidRPr="0062022A">
        <w:rPr>
          <w:rFonts w:cs="B Titr"/>
          <w:b/>
          <w:bCs/>
          <w:color w:val="FF0000"/>
          <w:sz w:val="28"/>
          <w:szCs w:val="28"/>
          <w:rtl/>
        </w:rPr>
        <w:t>بیماریهای واگیر</w:t>
      </w:r>
    </w:p>
    <w:tbl>
      <w:tblPr>
        <w:tblpPr w:leftFromText="45" w:rightFromText="45" w:vertAnchor="text" w:tblpXSpec="right" w:tblpYSpec="center"/>
        <w:bidiVisual/>
        <w:tblW w:w="515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8286"/>
      </w:tblGrid>
      <w:tr w:rsidR="00136255" w:rsidRPr="0062022A" w:rsidTr="00CE1DE2">
        <w:trPr>
          <w:tblCellSpacing w:w="15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Titr"/>
                <w:sz w:val="24"/>
                <w:szCs w:val="24"/>
              </w:rPr>
            </w:pPr>
            <w:r w:rsidRPr="0062022A">
              <w:rPr>
                <w:rFonts w:cs="B Titr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4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62022A">
              <w:rPr>
                <w:rFonts w:cs="B Titr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 w:rsidR="00136255" w:rsidRPr="00136255" w:rsidTr="00CE1DE2">
        <w:trPr>
          <w:tblCellSpacing w:w="15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CE1DE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022A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4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2022A">
              <w:rPr>
                <w:rFonts w:cs="B Nazanin"/>
                <w:sz w:val="24"/>
                <w:szCs w:val="24"/>
                <w:rtl/>
              </w:rPr>
              <w:t>توسعه روشهای درمانی جدید در بیماریهای واگیر</w:t>
            </w:r>
          </w:p>
        </w:tc>
      </w:tr>
      <w:tr w:rsidR="00136255" w:rsidRPr="00136255" w:rsidTr="00CE1DE2">
        <w:trPr>
          <w:tblCellSpacing w:w="15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CE1DE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022A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4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2022A">
              <w:rPr>
                <w:rFonts w:cs="B Nazanin"/>
                <w:sz w:val="24"/>
                <w:szCs w:val="24"/>
                <w:rtl/>
              </w:rPr>
              <w:t>غربالگری، اپیدمیولوژی، پیشگیری و مراقبت در مقاومت</w:t>
            </w:r>
            <w:r w:rsidRPr="0062022A">
              <w:rPr>
                <w:rFonts w:cs="B Nazanin"/>
                <w:sz w:val="24"/>
                <w:szCs w:val="24"/>
              </w:rPr>
              <w:t>‌</w:t>
            </w:r>
            <w:r w:rsidRPr="0062022A">
              <w:rPr>
                <w:rFonts w:cs="B Nazanin"/>
                <w:sz w:val="24"/>
                <w:szCs w:val="24"/>
                <w:rtl/>
              </w:rPr>
              <w:t>های میکروبی و عفونت‌های بیمارستانی</w:t>
            </w:r>
          </w:p>
        </w:tc>
      </w:tr>
      <w:tr w:rsidR="00136255" w:rsidRPr="00136255" w:rsidTr="00CE1DE2">
        <w:trPr>
          <w:tblCellSpacing w:w="15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CE1DE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022A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4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2022A">
              <w:rPr>
                <w:rFonts w:cs="B Nazanin"/>
                <w:sz w:val="24"/>
                <w:szCs w:val="24"/>
                <w:rtl/>
              </w:rPr>
              <w:t>غربالگری، اپیدمیولوژی، پیشگیری و مراقبت در بیماری‌های نوپدید و بازپدید</w:t>
            </w:r>
          </w:p>
        </w:tc>
      </w:tr>
      <w:tr w:rsidR="00136255" w:rsidRPr="00136255" w:rsidTr="00CE1DE2">
        <w:trPr>
          <w:tblCellSpacing w:w="15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CE1DE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022A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4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2022A">
              <w:rPr>
                <w:rFonts w:cs="B Nazanin"/>
                <w:sz w:val="24"/>
                <w:szCs w:val="24"/>
                <w:rtl/>
              </w:rPr>
              <w:t xml:space="preserve">غربالگری، اپیدمیولوژی، پیشگیری و مراقبت در عفونت‌های مرتبط با رفتاریهای پرخطر با تاکید بر </w:t>
            </w:r>
            <w:r w:rsidRPr="0062022A">
              <w:rPr>
                <w:rFonts w:cs="B Nazanin"/>
                <w:sz w:val="24"/>
                <w:szCs w:val="24"/>
              </w:rPr>
              <w:t>HIV</w:t>
            </w:r>
            <w:r w:rsidRPr="0062022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136255" w:rsidRPr="00136255" w:rsidTr="00CE1DE2">
        <w:trPr>
          <w:tblCellSpacing w:w="15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CE1DE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022A"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4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2022A">
              <w:rPr>
                <w:rFonts w:cs="B Nazanin"/>
                <w:sz w:val="24"/>
                <w:szCs w:val="24"/>
                <w:rtl/>
              </w:rPr>
              <w:t>غربالگری، اپیدمیولوژی، پیشگیری و مراقبت در بیماری‌های دستگاه گوارش با تاکید بر هپاتیت و سیروز کبدی</w:t>
            </w:r>
          </w:p>
        </w:tc>
      </w:tr>
      <w:tr w:rsidR="00136255" w:rsidRPr="00136255" w:rsidTr="00CE1DE2">
        <w:trPr>
          <w:tblCellSpacing w:w="15" w:type="dxa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CE1DE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022A"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4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2022A">
              <w:rPr>
                <w:rFonts w:cs="B Nazanin"/>
                <w:sz w:val="24"/>
                <w:szCs w:val="24"/>
                <w:rtl/>
              </w:rPr>
              <w:t>روشهای تشخیصی آزمایشگاهی برای بیماری‌های واگیر</w:t>
            </w:r>
          </w:p>
        </w:tc>
      </w:tr>
    </w:tbl>
    <w:p w:rsidR="00136255" w:rsidRPr="00136255" w:rsidRDefault="00136255" w:rsidP="00136255">
      <w:pPr>
        <w:bidi/>
        <w:rPr>
          <w:rtl/>
        </w:rPr>
      </w:pPr>
      <w:r w:rsidRPr="00136255">
        <w:t> </w:t>
      </w:r>
    </w:p>
    <w:p w:rsidR="00136255" w:rsidRPr="00136255" w:rsidRDefault="00136255" w:rsidP="00136255">
      <w:pPr>
        <w:bidi/>
      </w:pPr>
      <w:r w:rsidRPr="00136255">
        <w:t>  </w:t>
      </w:r>
      <w:r w:rsidRPr="00136255">
        <w:br/>
      </w:r>
      <w:r w:rsidRPr="0062022A">
        <w:rPr>
          <w:rFonts w:cs="B Titr"/>
          <w:b/>
          <w:bCs/>
          <w:color w:val="FF0000"/>
          <w:rtl/>
        </w:rPr>
        <w:t>بیماریهای غیر واگیر</w:t>
      </w:r>
    </w:p>
    <w:tbl>
      <w:tblPr>
        <w:tblpPr w:leftFromText="45" w:rightFromText="45" w:vertAnchor="text" w:tblpXSpec="right" w:tblpYSpec="center"/>
        <w:bidiVisual/>
        <w:tblW w:w="51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8367"/>
      </w:tblGrid>
      <w:tr w:rsidR="00136255" w:rsidRPr="00136255" w:rsidTr="00CE1DE2">
        <w:trPr>
          <w:tblCellSpacing w:w="0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CE1DE2" w:rsidRDefault="00136255" w:rsidP="00136255">
            <w:pPr>
              <w:bidi/>
              <w:rPr>
                <w:rFonts w:cs="B Titr"/>
              </w:rPr>
            </w:pPr>
            <w:r w:rsidRPr="00CE1DE2">
              <w:rPr>
                <w:rFonts w:cs="B Titr"/>
                <w:b/>
                <w:bCs/>
                <w:rtl/>
              </w:rPr>
              <w:t>رتبه اولویت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CE1DE2" w:rsidRDefault="00136255" w:rsidP="00136255">
            <w:pPr>
              <w:bidi/>
              <w:rPr>
                <w:rFonts w:cs="B Titr"/>
                <w:rtl/>
                <w:lang w:bidi="fa-IR"/>
              </w:rPr>
            </w:pPr>
            <w:r w:rsidRPr="00CE1DE2">
              <w:rPr>
                <w:rFonts w:cs="B Titr"/>
                <w:b/>
                <w:bCs/>
                <w:rtl/>
              </w:rPr>
              <w:t>عناوين اولويت هاي پژوهشي</w:t>
            </w:r>
          </w:p>
        </w:tc>
      </w:tr>
      <w:tr w:rsidR="00136255" w:rsidRPr="0062022A" w:rsidTr="00CE1DE2">
        <w:trPr>
          <w:tblCellSpacing w:w="0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CE1DE2">
            <w:pPr>
              <w:bidi/>
              <w:jc w:val="center"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1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پیشگیری، اپيــدميولوژي، درمان و بازتوانی بیماری‌های قلبی- عروقی</w:t>
            </w:r>
          </w:p>
        </w:tc>
      </w:tr>
      <w:tr w:rsidR="00136255" w:rsidRPr="0062022A" w:rsidTr="00CE1DE2">
        <w:trPr>
          <w:tblCellSpacing w:w="0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CE1DE2">
            <w:pPr>
              <w:bidi/>
              <w:jc w:val="center"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2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اپیدمیولوژی، پيشگيري، تشخيص زودهنگام، درمان و بازتواني در سرطان‌های شایع</w:t>
            </w:r>
            <w:r w:rsidRPr="0062022A">
              <w:rPr>
                <w:rFonts w:cs="B Nazanin"/>
                <w:rtl/>
              </w:rPr>
              <w:br/>
              <w:t>(معده، کولورکتال، مری، پوست، ریه، پستان، تخمدان، مثانه، پروستات، خون و مغز)</w:t>
            </w:r>
          </w:p>
        </w:tc>
      </w:tr>
      <w:tr w:rsidR="00136255" w:rsidRPr="0062022A" w:rsidTr="00CE1DE2">
        <w:trPr>
          <w:tblCellSpacing w:w="0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CE1DE2">
            <w:pPr>
              <w:bidi/>
              <w:jc w:val="center"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3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پیشگیری و اپیدمیولوژی و مراقبت در بیماری‌های شایع متابولیک و غدد ( دیابت، چاقی و کبد چرب)</w:t>
            </w:r>
          </w:p>
        </w:tc>
      </w:tr>
      <w:tr w:rsidR="00136255" w:rsidRPr="0062022A" w:rsidTr="00CE1DE2">
        <w:trPr>
          <w:tblCellSpacing w:w="0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CE1DE2">
            <w:pPr>
              <w:bidi/>
              <w:jc w:val="center"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4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پیشگیری، اپيـدميولوژي و درمان و بازتوانی سکته مغزی</w:t>
            </w:r>
          </w:p>
        </w:tc>
      </w:tr>
      <w:tr w:rsidR="00136255" w:rsidRPr="0062022A" w:rsidTr="00CE1DE2">
        <w:trPr>
          <w:tblCellSpacing w:w="0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CE1DE2">
            <w:pPr>
              <w:bidi/>
              <w:jc w:val="center"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5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 xml:space="preserve">پیشگیری، اپيدميولوژي و درمان و بازتوانی بیماری‌های التهابی راههای هوایی (آسم و </w:t>
            </w:r>
            <w:r w:rsidRPr="0062022A">
              <w:rPr>
                <w:rFonts w:cs="B Nazanin"/>
              </w:rPr>
              <w:t>COPD</w:t>
            </w:r>
            <w:r w:rsidRPr="0062022A">
              <w:rPr>
                <w:rFonts w:cs="B Nazanin"/>
                <w:rtl/>
              </w:rPr>
              <w:t>)</w:t>
            </w:r>
          </w:p>
        </w:tc>
      </w:tr>
      <w:tr w:rsidR="00136255" w:rsidRPr="0062022A" w:rsidTr="00CE1DE2">
        <w:trPr>
          <w:tblCellSpacing w:w="0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CE1DE2">
            <w:pPr>
              <w:bidi/>
              <w:jc w:val="center"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6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اختلالات رشد، تکامل و تغذیه در كودكان و نوزادان</w:t>
            </w:r>
          </w:p>
        </w:tc>
      </w:tr>
      <w:tr w:rsidR="00136255" w:rsidRPr="0062022A" w:rsidTr="00CE1DE2">
        <w:trPr>
          <w:tblCellSpacing w:w="0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CE1DE2">
            <w:pPr>
              <w:bidi/>
              <w:jc w:val="center"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7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كاهش ناتواني و عوارض اختلالات باروري و درمان ناباروری</w:t>
            </w:r>
          </w:p>
        </w:tc>
      </w:tr>
      <w:tr w:rsidR="00136255" w:rsidRPr="0062022A" w:rsidTr="00CE1DE2">
        <w:trPr>
          <w:tblCellSpacing w:w="0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CE1DE2">
            <w:pPr>
              <w:bidi/>
              <w:jc w:val="center"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8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پیشگیری و مراقبت از حاملگیهای پرخطر</w:t>
            </w:r>
          </w:p>
        </w:tc>
      </w:tr>
      <w:tr w:rsidR="00136255" w:rsidRPr="0062022A" w:rsidTr="00CE1DE2">
        <w:trPr>
          <w:tblCellSpacing w:w="0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CE1DE2">
            <w:pPr>
              <w:bidi/>
              <w:jc w:val="center"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9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غربالگري و پایش روند بيماريهاي غيرواگير با تاکید بر بیماریهای کلیوی</w:t>
            </w:r>
          </w:p>
        </w:tc>
      </w:tr>
      <w:tr w:rsidR="00136255" w:rsidRPr="0062022A" w:rsidTr="00CE1DE2">
        <w:trPr>
          <w:tblCellSpacing w:w="0" w:type="dxa"/>
        </w:trPr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CE1DE2">
            <w:pPr>
              <w:bidi/>
              <w:jc w:val="center"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10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62022A" w:rsidRDefault="00136255" w:rsidP="00136255">
            <w:pPr>
              <w:bidi/>
              <w:rPr>
                <w:rFonts w:cs="B Nazanin"/>
                <w:rtl/>
              </w:rPr>
            </w:pPr>
            <w:r w:rsidRPr="0062022A">
              <w:rPr>
                <w:rFonts w:cs="B Nazanin"/>
                <w:rtl/>
              </w:rPr>
              <w:t>ناهنجاری‌های ماسکلواسکلتال با تاکید بر کمردرد و دیسکهای گردنی</w:t>
            </w:r>
          </w:p>
        </w:tc>
      </w:tr>
    </w:tbl>
    <w:p w:rsidR="00136255" w:rsidRPr="00136255" w:rsidRDefault="00136255" w:rsidP="00136255">
      <w:pPr>
        <w:bidi/>
      </w:pPr>
      <w:r w:rsidRPr="0062022A">
        <w:rPr>
          <w:rFonts w:cs="B Titr"/>
          <w:b/>
          <w:bCs/>
          <w:color w:val="FF0000"/>
          <w:rtl/>
        </w:rPr>
        <w:lastRenderedPageBreak/>
        <w:t>تحقیقات نظام سلامت</w:t>
      </w:r>
      <w:r w:rsidRPr="0062022A">
        <w:rPr>
          <w:rFonts w:cs="B Titr"/>
          <w:b/>
          <w:bCs/>
          <w:color w:val="FF0000"/>
        </w:rPr>
        <w:br/>
      </w:r>
      <w:r w:rsidRPr="00136255">
        <w:t xml:space="preserve">  </w:t>
      </w:r>
    </w:p>
    <w:tbl>
      <w:tblPr>
        <w:tblpPr w:leftFromText="45" w:rightFromText="45" w:vertAnchor="text" w:tblpXSpec="right" w:tblpYSpec="center"/>
        <w:bidiVisual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8296"/>
      </w:tblGrid>
      <w:tr w:rsidR="00136255" w:rsidRPr="00136255" w:rsidTr="004F2148">
        <w:trPr>
          <w:tblCellSpacing w:w="0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4F2148" w:rsidRDefault="00136255" w:rsidP="00136255">
            <w:pPr>
              <w:bidi/>
              <w:rPr>
                <w:rFonts w:cs="B Titr"/>
                <w:sz w:val="24"/>
                <w:szCs w:val="24"/>
              </w:rPr>
            </w:pPr>
            <w:r w:rsidRPr="004F2148">
              <w:rPr>
                <w:rFonts w:cs="B Titr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4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4F2148" w:rsidRDefault="00136255" w:rsidP="0013625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F2148">
              <w:rPr>
                <w:rFonts w:cs="B Titr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 w:rsidR="00136255" w:rsidRPr="00136255" w:rsidTr="004F2148">
        <w:trPr>
          <w:tblCellSpacing w:w="0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4F2148" w:rsidRDefault="00136255" w:rsidP="004F21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2148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4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4F2148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F2148">
              <w:rPr>
                <w:rFonts w:cs="B Nazanin"/>
                <w:sz w:val="24"/>
                <w:szCs w:val="24"/>
                <w:rtl/>
              </w:rPr>
              <w:t>ارائه الگوهای مناسب در مدیریت نظام سلامت</w:t>
            </w:r>
          </w:p>
        </w:tc>
      </w:tr>
      <w:tr w:rsidR="00136255" w:rsidRPr="00136255" w:rsidTr="004F2148">
        <w:trPr>
          <w:tblCellSpacing w:w="0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4F2148" w:rsidRDefault="00136255" w:rsidP="004F21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2148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4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4F2148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F2148">
              <w:rPr>
                <w:rFonts w:cs="B Nazanin"/>
                <w:sz w:val="24"/>
                <w:szCs w:val="24"/>
                <w:rtl/>
              </w:rPr>
              <w:t>اخلاق حرفه</w:t>
            </w:r>
            <w:r w:rsidRPr="004F2148">
              <w:rPr>
                <w:rFonts w:cs="B Nazanin"/>
                <w:sz w:val="24"/>
                <w:szCs w:val="24"/>
              </w:rPr>
              <w:t>‌</w:t>
            </w:r>
            <w:r w:rsidRPr="004F2148">
              <w:rPr>
                <w:rFonts w:cs="B Nazanin"/>
                <w:sz w:val="24"/>
                <w:szCs w:val="24"/>
                <w:rtl/>
              </w:rPr>
              <w:t>ای در نظام سلامت</w:t>
            </w:r>
          </w:p>
        </w:tc>
      </w:tr>
      <w:tr w:rsidR="00136255" w:rsidRPr="00136255" w:rsidTr="004F2148">
        <w:trPr>
          <w:tblCellSpacing w:w="0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4F2148" w:rsidRDefault="00136255" w:rsidP="004F21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2148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4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4F2148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F2148">
              <w:rPr>
                <w:rFonts w:cs="B Nazanin"/>
                <w:sz w:val="24"/>
                <w:szCs w:val="24"/>
                <w:rtl/>
              </w:rPr>
              <w:t>اطلاعات سلامت (</w:t>
            </w:r>
            <w:r w:rsidRPr="004F2148">
              <w:rPr>
                <w:rFonts w:cs="B Nazanin"/>
                <w:sz w:val="24"/>
                <w:szCs w:val="24"/>
              </w:rPr>
              <w:t>health information</w:t>
            </w:r>
            <w:r w:rsidRPr="004F2148">
              <w:rPr>
                <w:rFonts w:cs="B Nazanin"/>
                <w:sz w:val="24"/>
                <w:szCs w:val="24"/>
                <w:rtl/>
              </w:rPr>
              <w:t>)</w:t>
            </w:r>
          </w:p>
        </w:tc>
      </w:tr>
      <w:tr w:rsidR="00136255" w:rsidRPr="00136255" w:rsidTr="004F2148">
        <w:trPr>
          <w:tblCellSpacing w:w="0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4F2148" w:rsidRDefault="00136255" w:rsidP="004F21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2148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4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4F2148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F2148">
              <w:rPr>
                <w:rFonts w:cs="B Nazanin"/>
                <w:sz w:val="24"/>
                <w:szCs w:val="24"/>
                <w:rtl/>
              </w:rPr>
              <w:t>ارايــه الگوهــاي مناسـب در اقتصاد نظام سلامت</w:t>
            </w:r>
          </w:p>
        </w:tc>
      </w:tr>
      <w:tr w:rsidR="00136255" w:rsidRPr="00136255" w:rsidTr="004F2148">
        <w:trPr>
          <w:tblCellSpacing w:w="0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4F2148" w:rsidRDefault="00136255" w:rsidP="004F21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2148"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4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4F2148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F2148">
              <w:rPr>
                <w:rFonts w:cs="B Nazanin"/>
                <w:sz w:val="24"/>
                <w:szCs w:val="24"/>
                <w:rtl/>
              </w:rPr>
              <w:t>ارائه نظام های دیده بانی و پایش سیستم سلامت</w:t>
            </w:r>
          </w:p>
        </w:tc>
      </w:tr>
      <w:tr w:rsidR="00136255" w:rsidRPr="00136255" w:rsidTr="004F2148">
        <w:trPr>
          <w:tblCellSpacing w:w="0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4F2148" w:rsidRDefault="00136255" w:rsidP="004F21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2148"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4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4F2148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F2148">
              <w:rPr>
                <w:rFonts w:cs="B Nazanin"/>
                <w:sz w:val="24"/>
                <w:szCs w:val="24"/>
                <w:rtl/>
              </w:rPr>
              <w:t>آینده پژوهی و پژوهش عملیاتی در نظام سلامت</w:t>
            </w:r>
          </w:p>
        </w:tc>
      </w:tr>
      <w:tr w:rsidR="00136255" w:rsidRPr="00136255" w:rsidTr="004F2148">
        <w:trPr>
          <w:tblCellSpacing w:w="0" w:type="dxa"/>
        </w:trPr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4F2148" w:rsidRDefault="00136255" w:rsidP="004F21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2148"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4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4F2148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F2148">
              <w:rPr>
                <w:rFonts w:cs="B Nazanin"/>
                <w:sz w:val="24"/>
                <w:szCs w:val="24"/>
                <w:rtl/>
              </w:rPr>
              <w:t>روشهای توسعه و ارتقاء آموزش در علوم پزشکی، مدیریت آموزشی و برنامه‌ریزی درسی</w:t>
            </w:r>
          </w:p>
        </w:tc>
      </w:tr>
    </w:tbl>
    <w:p w:rsidR="00136255" w:rsidRDefault="00136255" w:rsidP="00136255">
      <w:pPr>
        <w:bidi/>
      </w:pPr>
    </w:p>
    <w:p w:rsidR="00136255" w:rsidRDefault="00136255" w:rsidP="00136255">
      <w:pPr>
        <w:bidi/>
      </w:pPr>
    </w:p>
    <w:p w:rsidR="00136255" w:rsidRPr="009151E0" w:rsidRDefault="00136255" w:rsidP="00136255">
      <w:pPr>
        <w:bidi/>
        <w:rPr>
          <w:rFonts w:cs="B Titr"/>
          <w:b/>
          <w:bCs/>
          <w:color w:val="FF0000"/>
          <w:sz w:val="24"/>
          <w:szCs w:val="24"/>
        </w:rPr>
      </w:pPr>
      <w:r w:rsidRPr="009151E0">
        <w:rPr>
          <w:rFonts w:cs="B Titr"/>
          <w:b/>
          <w:bCs/>
          <w:color w:val="FF0000"/>
          <w:sz w:val="24"/>
          <w:szCs w:val="24"/>
          <w:rtl/>
        </w:rPr>
        <w:t>علوم پایه</w:t>
      </w:r>
    </w:p>
    <w:tbl>
      <w:tblPr>
        <w:tblpPr w:leftFromText="45" w:rightFromText="45" w:vertAnchor="text" w:tblpXSpec="right" w:tblpYSpec="center"/>
        <w:bidiVisual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8256"/>
      </w:tblGrid>
      <w:tr w:rsidR="00136255" w:rsidRPr="00136255" w:rsidTr="004F2148">
        <w:trPr>
          <w:tblCellSpacing w:w="0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77404A" w:rsidRDefault="00136255" w:rsidP="00136255">
            <w:pPr>
              <w:bidi/>
              <w:rPr>
                <w:rFonts w:cs="B Titr"/>
              </w:rPr>
            </w:pPr>
            <w:r w:rsidRPr="0077404A">
              <w:rPr>
                <w:rFonts w:cs="B Titr"/>
                <w:b/>
                <w:bCs/>
                <w:rtl/>
              </w:rPr>
              <w:t>رتبه اولویت</w:t>
            </w:r>
          </w:p>
        </w:tc>
        <w:tc>
          <w:tcPr>
            <w:tcW w:w="4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77404A" w:rsidRDefault="00136255" w:rsidP="00136255">
            <w:pPr>
              <w:bidi/>
              <w:rPr>
                <w:rFonts w:cs="B Titr"/>
                <w:rtl/>
              </w:rPr>
            </w:pPr>
            <w:r w:rsidRPr="0077404A">
              <w:rPr>
                <w:rFonts w:cs="B Titr"/>
                <w:b/>
                <w:bCs/>
                <w:rtl/>
              </w:rPr>
              <w:t>عناوين اولويت هاي پژوهشي</w:t>
            </w:r>
          </w:p>
        </w:tc>
      </w:tr>
      <w:tr w:rsidR="00136255" w:rsidRPr="00136255" w:rsidTr="004F2148">
        <w:trPr>
          <w:tblCellSpacing w:w="0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77404A" w:rsidRDefault="00136255" w:rsidP="00887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404A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4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77404A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7404A">
              <w:rPr>
                <w:rFonts w:cs="B Nazanin"/>
                <w:sz w:val="24"/>
                <w:szCs w:val="24"/>
                <w:rtl/>
              </w:rPr>
              <w:t>سلولهای بنیادی، مهندسی بافت و پزشکی بازساختی و زیست مواد</w:t>
            </w:r>
          </w:p>
        </w:tc>
      </w:tr>
      <w:tr w:rsidR="00136255" w:rsidRPr="00136255" w:rsidTr="004F2148">
        <w:trPr>
          <w:tblCellSpacing w:w="0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77404A" w:rsidRDefault="00136255" w:rsidP="00887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404A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4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77404A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7404A">
              <w:rPr>
                <w:rFonts w:cs="B Nazanin"/>
                <w:sz w:val="24"/>
                <w:szCs w:val="24"/>
                <w:rtl/>
              </w:rPr>
              <w:t>مطالعات سلولی- مولكولي و ايمونولوژيك در زمينــه توليد واكسن</w:t>
            </w:r>
          </w:p>
        </w:tc>
      </w:tr>
      <w:tr w:rsidR="00136255" w:rsidRPr="00136255" w:rsidTr="004F2148">
        <w:trPr>
          <w:tblCellSpacing w:w="0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77404A" w:rsidRDefault="00136255" w:rsidP="00887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404A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4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77404A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7404A">
              <w:rPr>
                <w:rFonts w:cs="B Nazanin"/>
                <w:sz w:val="24"/>
                <w:szCs w:val="24"/>
                <w:rtl/>
              </w:rPr>
              <w:t>ایمونوتراپی بیماری‌های شایع با استفاده از ژن درمانی</w:t>
            </w:r>
          </w:p>
        </w:tc>
      </w:tr>
      <w:tr w:rsidR="00136255" w:rsidRPr="00136255" w:rsidTr="004F2148">
        <w:trPr>
          <w:tblCellSpacing w:w="0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77404A" w:rsidRDefault="00136255" w:rsidP="00887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404A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4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77404A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7404A">
              <w:rPr>
                <w:rFonts w:cs="B Nazanin"/>
                <w:sz w:val="24"/>
                <w:szCs w:val="24"/>
                <w:rtl/>
              </w:rPr>
              <w:t>حذف و کنترل آلودگی</w:t>
            </w:r>
            <w:r w:rsidRPr="0077404A">
              <w:rPr>
                <w:rFonts w:cs="B Nazanin"/>
                <w:sz w:val="24"/>
                <w:szCs w:val="24"/>
              </w:rPr>
              <w:t>‌</w:t>
            </w:r>
            <w:r w:rsidRPr="0077404A">
              <w:rPr>
                <w:rFonts w:cs="B Nazanin"/>
                <w:sz w:val="24"/>
                <w:szCs w:val="24"/>
                <w:rtl/>
              </w:rPr>
              <w:t xml:space="preserve">های نوپدید از محیط </w:t>
            </w:r>
          </w:p>
        </w:tc>
      </w:tr>
      <w:tr w:rsidR="00136255" w:rsidRPr="00136255" w:rsidTr="004F2148">
        <w:trPr>
          <w:tblCellSpacing w:w="0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77404A" w:rsidRDefault="00136255" w:rsidP="00887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404A"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4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77404A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7404A">
              <w:rPr>
                <w:rFonts w:cs="B Nazanin"/>
                <w:sz w:val="24"/>
                <w:szCs w:val="24"/>
                <w:rtl/>
              </w:rPr>
              <w:t>نانوفیبرها، نانوذرات و اسکافولدها (در طب بازساختی، مهندسی بافت و دارورسانی)</w:t>
            </w:r>
          </w:p>
        </w:tc>
      </w:tr>
      <w:tr w:rsidR="00136255" w:rsidRPr="00136255" w:rsidTr="004F2148">
        <w:trPr>
          <w:tblCellSpacing w:w="0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77404A" w:rsidRDefault="00136255" w:rsidP="00887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404A"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4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77404A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7404A">
              <w:rPr>
                <w:rFonts w:cs="B Nazanin"/>
                <w:sz w:val="24"/>
                <w:szCs w:val="24"/>
                <w:rtl/>
              </w:rPr>
              <w:t>درد و مكانيسمهاي كاهش آن</w:t>
            </w:r>
          </w:p>
        </w:tc>
      </w:tr>
    </w:tbl>
    <w:p w:rsidR="00136255" w:rsidRPr="00136255" w:rsidRDefault="00136255" w:rsidP="00136255">
      <w:pPr>
        <w:bidi/>
        <w:rPr>
          <w:rtl/>
        </w:rPr>
      </w:pPr>
      <w:r w:rsidRPr="00136255">
        <w:t> </w:t>
      </w:r>
    </w:p>
    <w:p w:rsidR="00136255" w:rsidRDefault="00136255" w:rsidP="00136255">
      <w:pPr>
        <w:bidi/>
      </w:pPr>
    </w:p>
    <w:p w:rsidR="00136255" w:rsidRDefault="00136255" w:rsidP="00136255">
      <w:pPr>
        <w:bidi/>
      </w:pPr>
    </w:p>
    <w:p w:rsidR="00136255" w:rsidRDefault="00136255" w:rsidP="00136255">
      <w:pPr>
        <w:bidi/>
      </w:pPr>
    </w:p>
    <w:p w:rsidR="00136255" w:rsidRPr="009151E0" w:rsidRDefault="00136255" w:rsidP="00136255">
      <w:pPr>
        <w:bidi/>
        <w:rPr>
          <w:sz w:val="24"/>
          <w:szCs w:val="24"/>
        </w:rPr>
      </w:pPr>
      <w:r w:rsidRPr="009151E0">
        <w:rPr>
          <w:rFonts w:cs="B Titr"/>
          <w:b/>
          <w:bCs/>
          <w:color w:val="FF0000"/>
          <w:sz w:val="24"/>
          <w:szCs w:val="24"/>
        </w:rPr>
        <w:lastRenderedPageBreak/>
        <w:t> </w:t>
      </w:r>
      <w:r w:rsidRPr="009151E0">
        <w:rPr>
          <w:rFonts w:cs="B Titr"/>
          <w:b/>
          <w:bCs/>
          <w:color w:val="FF0000"/>
          <w:sz w:val="24"/>
          <w:szCs w:val="24"/>
          <w:rtl/>
        </w:rPr>
        <w:t>علوم دارویی</w:t>
      </w:r>
      <w:r w:rsidRPr="009151E0">
        <w:rPr>
          <w:rFonts w:cs="B Titr"/>
          <w:b/>
          <w:bCs/>
          <w:color w:val="FF0000"/>
          <w:sz w:val="24"/>
          <w:szCs w:val="24"/>
        </w:rPr>
        <w:br/>
      </w:r>
      <w:r w:rsidRPr="009151E0">
        <w:rPr>
          <w:sz w:val="24"/>
          <w:szCs w:val="24"/>
        </w:rPr>
        <w:t xml:space="preserve">  </w:t>
      </w:r>
    </w:p>
    <w:tbl>
      <w:tblPr>
        <w:tblpPr w:leftFromText="45" w:rightFromText="45" w:vertAnchor="text" w:tblpXSpec="right" w:tblpYSpec="center"/>
        <w:bidiVisual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8320"/>
      </w:tblGrid>
      <w:tr w:rsidR="00136255" w:rsidRPr="00136255" w:rsidTr="00887EB8">
        <w:trPr>
          <w:tblCellSpacing w:w="0" w:type="dxa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Titr"/>
                <w:sz w:val="24"/>
                <w:szCs w:val="24"/>
              </w:rPr>
            </w:pPr>
            <w:r w:rsidRPr="00DF2BBB">
              <w:rPr>
                <w:rFonts w:cs="B Titr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4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DF2BBB">
              <w:rPr>
                <w:rFonts w:cs="B Titr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 w:rsidR="00136255" w:rsidRPr="00136255" w:rsidTr="00887EB8">
        <w:trPr>
          <w:tblCellSpacing w:w="0" w:type="dxa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887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4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راهكارهاي بهينه‌سازي تجویز و مصرف منطقی داروها با تاکید بر آنتی بیوتیک‌ها</w:t>
            </w:r>
          </w:p>
        </w:tc>
      </w:tr>
      <w:tr w:rsidR="00136255" w:rsidRPr="00136255" w:rsidTr="00887EB8">
        <w:trPr>
          <w:tblCellSpacing w:w="0" w:type="dxa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887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4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توسعه فناوري‌هاي نوين برای دارورساني</w:t>
            </w:r>
          </w:p>
        </w:tc>
      </w:tr>
      <w:tr w:rsidR="00136255" w:rsidRPr="00136255" w:rsidTr="00887EB8">
        <w:trPr>
          <w:tblCellSpacing w:w="0" w:type="dxa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887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4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تولید آنتی بادی‌های منوکلونال و پروتئین‌های نوترکیب (جنبه‌های تولیدی و پروتکل درمانی) و واکسن</w:t>
            </w:r>
          </w:p>
        </w:tc>
      </w:tr>
      <w:tr w:rsidR="00136255" w:rsidRPr="00136255" w:rsidTr="00887EB8">
        <w:trPr>
          <w:tblCellSpacing w:w="0" w:type="dxa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887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4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توسعه و بهربرداری پژوهشی از نظام ثبت عوارض و خطاهاي دارويي</w:t>
            </w:r>
          </w:p>
        </w:tc>
      </w:tr>
      <w:tr w:rsidR="00136255" w:rsidRPr="00136255" w:rsidTr="00887EB8">
        <w:trPr>
          <w:tblCellSpacing w:w="0" w:type="dxa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887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4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 xml:space="preserve">پیشگیری، تشخیص و مراقبت از مسمومیتها و سوء مصرف داروها </w:t>
            </w:r>
          </w:p>
        </w:tc>
      </w:tr>
      <w:tr w:rsidR="00136255" w:rsidRPr="00136255" w:rsidTr="00887EB8">
        <w:trPr>
          <w:tblCellSpacing w:w="0" w:type="dxa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887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4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 xml:space="preserve">مکانیسم سلولی مولکولی اثربخشی فرآورده‌های دارویی، ترکیبات بیولوژیک </w:t>
            </w:r>
          </w:p>
        </w:tc>
      </w:tr>
      <w:tr w:rsidR="00136255" w:rsidRPr="00136255" w:rsidTr="00887EB8">
        <w:trPr>
          <w:tblCellSpacing w:w="0" w:type="dxa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887E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4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بررسي كيفيت، ایمنی و کنترل فیزیک و شیمیایی و میکروبی داروها، ‌داروهای سنتی، غذا و فرآورده‌های آرایشی و بهداشتی</w:t>
            </w:r>
            <w:r w:rsidRPr="00DF2BBB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DF2BB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</w:tbl>
    <w:p w:rsidR="00136255" w:rsidRDefault="00136255" w:rsidP="00136255">
      <w:pPr>
        <w:bidi/>
      </w:pPr>
    </w:p>
    <w:p w:rsidR="00136255" w:rsidRPr="009151E0" w:rsidRDefault="00136255" w:rsidP="00136255">
      <w:pPr>
        <w:bidi/>
        <w:rPr>
          <w:sz w:val="24"/>
          <w:szCs w:val="24"/>
        </w:rPr>
      </w:pPr>
      <w:r w:rsidRPr="009151E0">
        <w:rPr>
          <w:rFonts w:cs="B Titr"/>
          <w:b/>
          <w:bCs/>
          <w:color w:val="FF0000"/>
          <w:sz w:val="24"/>
          <w:szCs w:val="24"/>
          <w:rtl/>
        </w:rPr>
        <w:t>فنآوری و تجهیزات پزشکی</w:t>
      </w:r>
      <w:r w:rsidRPr="009151E0">
        <w:rPr>
          <w:rFonts w:cs="B Titr"/>
          <w:b/>
          <w:bCs/>
          <w:color w:val="FF0000"/>
          <w:sz w:val="24"/>
          <w:szCs w:val="24"/>
        </w:rPr>
        <w:br/>
      </w:r>
      <w:r w:rsidRPr="009151E0">
        <w:rPr>
          <w:sz w:val="24"/>
          <w:szCs w:val="24"/>
        </w:rPr>
        <w:t xml:space="preserve">  </w:t>
      </w:r>
    </w:p>
    <w:tbl>
      <w:tblPr>
        <w:tblpPr w:leftFromText="45" w:rightFromText="45" w:vertAnchor="text" w:tblpXSpec="right" w:tblpYSpec="center"/>
        <w:bidiVisual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8180"/>
      </w:tblGrid>
      <w:tr w:rsidR="00136255" w:rsidRPr="00136255" w:rsidTr="00887EB8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Titr"/>
                <w:sz w:val="24"/>
                <w:szCs w:val="24"/>
              </w:rPr>
            </w:pPr>
            <w:r w:rsidRPr="00DF2BBB">
              <w:rPr>
                <w:rFonts w:cs="B Titr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4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DF2BBB">
              <w:rPr>
                <w:rFonts w:cs="B Titr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 w:rsidR="00136255" w:rsidRPr="00136255" w:rsidTr="00887EB8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DF2B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4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 xml:space="preserve">فناوری‌ها و تجهیزات پزشکی بازساختی و نانوفناوری </w:t>
            </w:r>
          </w:p>
        </w:tc>
      </w:tr>
      <w:tr w:rsidR="00136255" w:rsidRPr="00136255" w:rsidTr="00887EB8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DF2B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4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فناوری‌های همگرا و فناوری‌های نوين در غربالگري، تشخيص زودرس، توانبخشی و درمان بيماريها</w:t>
            </w:r>
          </w:p>
        </w:tc>
      </w:tr>
      <w:tr w:rsidR="00136255" w:rsidRPr="00136255" w:rsidTr="00887EB8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DF2B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4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ساخت و ارتقاء كيفيـت و تجاری سازی مواد، تجهيزات پزشكي و تست</w:t>
            </w:r>
            <w:r w:rsidRPr="00DF2BBB">
              <w:rPr>
                <w:rFonts w:cs="B Nazanin"/>
                <w:sz w:val="24"/>
                <w:szCs w:val="24"/>
              </w:rPr>
              <w:t>‌</w:t>
            </w:r>
            <w:r w:rsidRPr="00DF2BBB">
              <w:rPr>
                <w:rFonts w:cs="B Nazanin"/>
                <w:sz w:val="24"/>
                <w:szCs w:val="24"/>
                <w:rtl/>
              </w:rPr>
              <w:t>‌های آزمایشگاهی</w:t>
            </w:r>
          </w:p>
        </w:tc>
      </w:tr>
      <w:tr w:rsidR="00136255" w:rsidRPr="00136255" w:rsidTr="00887EB8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DF2B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4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توسعه زیرساخت‌های فناورانه الکترونیکی کردن فرایند های بیمارستانی و سلامت</w:t>
            </w:r>
          </w:p>
        </w:tc>
      </w:tr>
      <w:tr w:rsidR="00136255" w:rsidRPr="00136255" w:rsidTr="00887EB8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DF2B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4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تولید و بهینه سازی ابزارهای کمکی برای توانمند‌سازی سالمندان</w:t>
            </w:r>
          </w:p>
        </w:tc>
      </w:tr>
    </w:tbl>
    <w:p w:rsidR="00136255" w:rsidRPr="00136255" w:rsidRDefault="00136255" w:rsidP="00136255">
      <w:pPr>
        <w:bidi/>
        <w:rPr>
          <w:rtl/>
        </w:rPr>
      </w:pPr>
      <w:r w:rsidRPr="00136255">
        <w:t> </w:t>
      </w:r>
    </w:p>
    <w:p w:rsidR="00136255" w:rsidRDefault="00136255" w:rsidP="00136255">
      <w:pPr>
        <w:bidi/>
      </w:pPr>
    </w:p>
    <w:p w:rsidR="00136255" w:rsidRDefault="00136255" w:rsidP="00136255">
      <w:pPr>
        <w:bidi/>
      </w:pPr>
    </w:p>
    <w:p w:rsidR="00136255" w:rsidRDefault="00136255" w:rsidP="00136255">
      <w:pPr>
        <w:bidi/>
      </w:pPr>
    </w:p>
    <w:p w:rsidR="00136255" w:rsidRDefault="00136255" w:rsidP="00136255">
      <w:pPr>
        <w:bidi/>
      </w:pPr>
    </w:p>
    <w:p w:rsidR="00136255" w:rsidRPr="00136255" w:rsidRDefault="00136255" w:rsidP="00136255">
      <w:pPr>
        <w:bidi/>
      </w:pPr>
      <w:r w:rsidRPr="00DF2BBB">
        <w:rPr>
          <w:rFonts w:cs="B Titr"/>
          <w:b/>
          <w:bCs/>
          <w:color w:val="FF0000"/>
          <w:sz w:val="24"/>
          <w:szCs w:val="24"/>
          <w:rtl/>
        </w:rPr>
        <w:t>علوم بهداشتی</w:t>
      </w:r>
      <w:r w:rsidRPr="00DF2BBB">
        <w:rPr>
          <w:rFonts w:cs="B Titr"/>
          <w:b/>
          <w:bCs/>
          <w:color w:val="FF0000"/>
          <w:sz w:val="24"/>
          <w:szCs w:val="24"/>
        </w:rPr>
        <w:br/>
      </w:r>
      <w:r w:rsidRPr="00136255">
        <w:t xml:space="preserve">  </w:t>
      </w:r>
    </w:p>
    <w:tbl>
      <w:tblPr>
        <w:tblpPr w:leftFromText="45" w:rightFromText="45" w:vertAnchor="text" w:tblpXSpec="right" w:tblpYSpec="center"/>
        <w:bidiVisual/>
        <w:tblW w:w="496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8064"/>
      </w:tblGrid>
      <w:tr w:rsidR="00136255" w:rsidRPr="00136255" w:rsidTr="00DF2BBB">
        <w:trPr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Titr"/>
                <w:sz w:val="24"/>
                <w:szCs w:val="24"/>
              </w:rPr>
            </w:pPr>
            <w:r w:rsidRPr="00DF2BBB">
              <w:rPr>
                <w:rFonts w:cs="B Titr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4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DF2BBB">
              <w:rPr>
                <w:rFonts w:cs="B Titr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 w:rsidR="00136255" w:rsidRPr="00136255" w:rsidTr="00DF2BBB">
        <w:trPr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DF2B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4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ارزیابی عوامل خطر در بیماری‌های اولویت‌دار (اعتیاد، تغذیه، آلودگی هوا و محیط زیست)</w:t>
            </w:r>
          </w:p>
        </w:tc>
      </w:tr>
      <w:tr w:rsidR="00136255" w:rsidRPr="00136255" w:rsidTr="00DF2BBB">
        <w:trPr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DF2B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4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توسعه مراقبت‌های بهداشتی اولیه</w:t>
            </w:r>
          </w:p>
        </w:tc>
      </w:tr>
      <w:tr w:rsidR="00136255" w:rsidRPr="00136255" w:rsidTr="00DF2BBB">
        <w:trPr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DF2B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4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ارايه الگوهاي مناسب براي ارتقـاء شيوه‌هاي زندگي سالم با تاكيد بـر گروههاي آسيب پذير</w:t>
            </w:r>
          </w:p>
        </w:tc>
      </w:tr>
      <w:tr w:rsidR="00136255" w:rsidRPr="00136255" w:rsidTr="00DF2BBB">
        <w:trPr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DF2B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4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 xml:space="preserve">ایمنی شغلی و ارگونومی </w:t>
            </w:r>
          </w:p>
        </w:tc>
      </w:tr>
      <w:tr w:rsidR="00136255" w:rsidRPr="00136255" w:rsidTr="00DF2BBB">
        <w:trPr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DF2B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4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 xml:space="preserve">مهارتهای رفتاری، ارتباطی و آموزش و ارتقاء سلامت و مداخلات آموزشی </w:t>
            </w:r>
          </w:p>
        </w:tc>
      </w:tr>
      <w:tr w:rsidR="00136255" w:rsidRPr="00136255" w:rsidTr="00DF2BBB">
        <w:trPr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DF2B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4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مخاطرات سلامت ناشی از خشک شدن دریاچه ارومیه</w:t>
            </w:r>
          </w:p>
        </w:tc>
      </w:tr>
    </w:tbl>
    <w:p w:rsidR="00136255" w:rsidRDefault="00136255" w:rsidP="00136255">
      <w:pPr>
        <w:bidi/>
      </w:pPr>
    </w:p>
    <w:p w:rsidR="00136255" w:rsidRDefault="00136255" w:rsidP="00136255">
      <w:pPr>
        <w:bidi/>
      </w:pPr>
    </w:p>
    <w:p w:rsidR="00136255" w:rsidRDefault="00136255" w:rsidP="00136255">
      <w:pPr>
        <w:bidi/>
      </w:pPr>
    </w:p>
    <w:p w:rsidR="00136255" w:rsidRPr="00DF2BBB" w:rsidRDefault="00136255" w:rsidP="00136255">
      <w:pPr>
        <w:bidi/>
        <w:rPr>
          <w:sz w:val="24"/>
          <w:szCs w:val="24"/>
        </w:rPr>
      </w:pPr>
      <w:r w:rsidRPr="00DF2BBB">
        <w:rPr>
          <w:rFonts w:cs="B Titr"/>
          <w:b/>
          <w:bCs/>
          <w:color w:val="FF0000"/>
          <w:sz w:val="24"/>
          <w:szCs w:val="24"/>
          <w:rtl/>
        </w:rPr>
        <w:t>علوم غذا و تغذیه</w:t>
      </w:r>
      <w:r w:rsidRPr="00DF2BBB">
        <w:rPr>
          <w:rFonts w:cs="B Titr"/>
          <w:b/>
          <w:bCs/>
          <w:color w:val="FF0000"/>
          <w:sz w:val="24"/>
          <w:szCs w:val="24"/>
        </w:rPr>
        <w:br/>
      </w:r>
      <w:r w:rsidRPr="00DF2BBB">
        <w:rPr>
          <w:sz w:val="24"/>
          <w:szCs w:val="24"/>
        </w:rPr>
        <w:t xml:space="preserve">  </w:t>
      </w:r>
    </w:p>
    <w:tbl>
      <w:tblPr>
        <w:tblpPr w:leftFromText="45" w:rightFromText="45" w:vertAnchor="text" w:tblpXSpec="right" w:tblpYSpec="center"/>
        <w:bidiVisual/>
        <w:tblW w:w="496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8056"/>
      </w:tblGrid>
      <w:tr w:rsidR="00136255" w:rsidRPr="00DF2BBB" w:rsidTr="00DF2BBB">
        <w:trPr>
          <w:tblCellSpacing w:w="0" w:type="dxa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Titr"/>
                <w:sz w:val="24"/>
                <w:szCs w:val="24"/>
              </w:rPr>
            </w:pPr>
            <w:r w:rsidRPr="00DF2BBB">
              <w:rPr>
                <w:rFonts w:cs="B Titr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4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DF2BBB">
              <w:rPr>
                <w:rFonts w:cs="B Titr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 w:rsidR="00136255" w:rsidRPr="00DF2BBB" w:rsidTr="00DF2BBB">
        <w:trPr>
          <w:tblCellSpacing w:w="0" w:type="dxa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4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ارتقاء و امنيت غذايي</w:t>
            </w:r>
          </w:p>
        </w:tc>
      </w:tr>
      <w:tr w:rsidR="00136255" w:rsidRPr="00DF2BBB" w:rsidTr="00DF2BBB">
        <w:trPr>
          <w:tblCellSpacing w:w="0" w:type="dxa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4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روشهـاي تـرويج الگوها، استانداردها و آموزش رفتارهای تغذيه‌اي مناسب و حفظ الصحه</w:t>
            </w:r>
          </w:p>
        </w:tc>
      </w:tr>
      <w:tr w:rsidR="00136255" w:rsidRPr="00DF2BBB" w:rsidTr="00DF2BBB">
        <w:trPr>
          <w:tblCellSpacing w:w="0" w:type="dxa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4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تغذیه درمانی پزشکی در بیماری‌های مزمن و غیرواگیر</w:t>
            </w:r>
          </w:p>
        </w:tc>
      </w:tr>
      <w:tr w:rsidR="00136255" w:rsidRPr="00DF2BBB" w:rsidTr="00DF2BBB">
        <w:trPr>
          <w:tblCellSpacing w:w="0" w:type="dxa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4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كنترل کیفیت مواد خوراکی و آشامیدنی</w:t>
            </w:r>
          </w:p>
        </w:tc>
      </w:tr>
      <w:tr w:rsidR="00136255" w:rsidRPr="00DF2BBB" w:rsidTr="00DF2BBB">
        <w:trPr>
          <w:tblCellSpacing w:w="0" w:type="dxa"/>
        </w:trPr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4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DF2BBB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F2BBB">
              <w:rPr>
                <w:rFonts w:cs="B Nazanin"/>
                <w:sz w:val="24"/>
                <w:szCs w:val="24"/>
                <w:rtl/>
              </w:rPr>
              <w:t>تدوین و توسعه خطوط راهنما برای تغذیه در بیمارستان</w:t>
            </w:r>
          </w:p>
        </w:tc>
      </w:tr>
    </w:tbl>
    <w:p w:rsidR="00136255" w:rsidRPr="00DF2BBB" w:rsidRDefault="00136255" w:rsidP="00136255">
      <w:pPr>
        <w:bidi/>
        <w:rPr>
          <w:sz w:val="24"/>
          <w:szCs w:val="24"/>
        </w:rPr>
      </w:pPr>
    </w:p>
    <w:p w:rsidR="00136255" w:rsidRDefault="00136255" w:rsidP="00136255">
      <w:pPr>
        <w:bidi/>
      </w:pPr>
    </w:p>
    <w:p w:rsidR="00136255" w:rsidRDefault="00136255" w:rsidP="00136255">
      <w:pPr>
        <w:bidi/>
      </w:pPr>
    </w:p>
    <w:p w:rsidR="00136255" w:rsidRDefault="00136255" w:rsidP="00136255">
      <w:pPr>
        <w:bidi/>
      </w:pPr>
    </w:p>
    <w:p w:rsidR="00136255" w:rsidRPr="009151E0" w:rsidRDefault="00136255" w:rsidP="00136255">
      <w:pPr>
        <w:bidi/>
        <w:rPr>
          <w:rFonts w:cs="B Titr"/>
          <w:b/>
          <w:bCs/>
          <w:color w:val="FF0000"/>
          <w:sz w:val="24"/>
          <w:szCs w:val="24"/>
        </w:rPr>
      </w:pPr>
      <w:bookmarkStart w:id="0" w:name="_GoBack"/>
      <w:bookmarkEnd w:id="0"/>
      <w:r w:rsidRPr="009151E0">
        <w:rPr>
          <w:rFonts w:cs="B Titr"/>
          <w:b/>
          <w:bCs/>
          <w:color w:val="FF0000"/>
          <w:sz w:val="24"/>
          <w:szCs w:val="24"/>
          <w:rtl/>
        </w:rPr>
        <w:lastRenderedPageBreak/>
        <w:t>دندانپزشکی</w:t>
      </w:r>
    </w:p>
    <w:tbl>
      <w:tblPr>
        <w:tblpPr w:leftFromText="45" w:rightFromText="45" w:vertAnchor="text" w:tblpXSpec="right" w:tblpYSpec="center"/>
        <w:bidiVisual/>
        <w:tblW w:w="496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8216"/>
      </w:tblGrid>
      <w:tr w:rsidR="00136255" w:rsidRPr="00136255" w:rsidTr="00E07947">
        <w:trPr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E07947" w:rsidRDefault="00136255" w:rsidP="00136255">
            <w:pPr>
              <w:bidi/>
              <w:rPr>
                <w:rFonts w:cs="B Nazanin"/>
                <w:sz w:val="24"/>
                <w:szCs w:val="24"/>
              </w:rPr>
            </w:pPr>
            <w:r w:rsidRPr="00E07947">
              <w:rPr>
                <w:rFonts w:cs="B Nazanin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4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E07947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7947">
              <w:rPr>
                <w:rFonts w:cs="B Nazanin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 w:rsidR="00136255" w:rsidRPr="00136255" w:rsidTr="00E07947">
        <w:trPr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E07947" w:rsidRDefault="00136255" w:rsidP="00E07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7947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4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E07947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7947">
              <w:rPr>
                <w:rFonts w:cs="B Nazanin"/>
                <w:sz w:val="24"/>
                <w:szCs w:val="24"/>
                <w:rtl/>
              </w:rPr>
              <w:t>بهداشت دهان و دندان و اقدامات پیشگیری از پوسیدگی های دندانی</w:t>
            </w:r>
          </w:p>
        </w:tc>
      </w:tr>
      <w:tr w:rsidR="00136255" w:rsidRPr="00136255" w:rsidTr="00E07947">
        <w:trPr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E07947" w:rsidRDefault="00136255" w:rsidP="00E07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7947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4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E07947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7947">
              <w:rPr>
                <w:rFonts w:cs="B Nazanin"/>
                <w:sz w:val="24"/>
                <w:szCs w:val="24"/>
                <w:rtl/>
              </w:rPr>
              <w:t>فناوری‌های نوين در دندانپزشکی با تاکید بر فناوری نانو، نانوذرات، بایومتریال</w:t>
            </w:r>
            <w:r w:rsidRPr="00E07947">
              <w:rPr>
                <w:rFonts w:cs="B Nazanin"/>
                <w:sz w:val="24"/>
                <w:szCs w:val="24"/>
              </w:rPr>
              <w:t>‌</w:t>
            </w:r>
            <w:r w:rsidRPr="00E07947">
              <w:rPr>
                <w:rFonts w:cs="B Nazanin"/>
                <w:sz w:val="24"/>
                <w:szCs w:val="24"/>
                <w:rtl/>
              </w:rPr>
              <w:t>ها و اپلیانس‌های داخل دهانی</w:t>
            </w:r>
          </w:p>
        </w:tc>
      </w:tr>
      <w:tr w:rsidR="00136255" w:rsidRPr="00136255" w:rsidTr="00E07947">
        <w:trPr>
          <w:tblCellSpacing w:w="0" w:type="dxa"/>
        </w:trPr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E07947" w:rsidRDefault="00136255" w:rsidP="00E079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7947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4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E07947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07947">
              <w:rPr>
                <w:rFonts w:cs="B Nazanin"/>
                <w:sz w:val="24"/>
                <w:szCs w:val="24"/>
                <w:rtl/>
              </w:rPr>
              <w:t>مطالعات سلولی مولکولی و پزشکی بازساختی در دندانپزشکی</w:t>
            </w:r>
          </w:p>
        </w:tc>
      </w:tr>
    </w:tbl>
    <w:p w:rsidR="00136255" w:rsidRDefault="00136255" w:rsidP="00136255">
      <w:pPr>
        <w:bidi/>
      </w:pPr>
    </w:p>
    <w:p w:rsidR="00136255" w:rsidRPr="009151E0" w:rsidRDefault="00136255" w:rsidP="00136255">
      <w:pPr>
        <w:bidi/>
        <w:rPr>
          <w:rFonts w:cs="B Titr"/>
          <w:b/>
          <w:bCs/>
          <w:color w:val="FF0000"/>
          <w:sz w:val="24"/>
          <w:szCs w:val="24"/>
        </w:rPr>
      </w:pPr>
      <w:r w:rsidRPr="009151E0">
        <w:rPr>
          <w:rFonts w:cs="B Titr"/>
          <w:b/>
          <w:bCs/>
          <w:color w:val="FF0000"/>
          <w:sz w:val="24"/>
          <w:szCs w:val="24"/>
          <w:rtl/>
        </w:rPr>
        <w:t>سلامت روان و مولفه های اجتماعی موثر بر سلامت</w:t>
      </w:r>
    </w:p>
    <w:tbl>
      <w:tblPr>
        <w:tblpPr w:leftFromText="45" w:rightFromText="45" w:vertAnchor="text" w:tblpXSpec="right" w:tblpYSpec="center"/>
        <w:bidiVisual/>
        <w:tblW w:w="491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8140"/>
      </w:tblGrid>
      <w:tr w:rsidR="00136255" w:rsidRPr="00136255" w:rsidTr="0022502C">
        <w:trPr>
          <w:tblCellSpacing w:w="0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136255">
            <w:pPr>
              <w:bidi/>
              <w:rPr>
                <w:rFonts w:cs="B Nazanin"/>
                <w:sz w:val="24"/>
                <w:szCs w:val="24"/>
              </w:rPr>
            </w:pPr>
            <w:r w:rsidRPr="0022502C">
              <w:rPr>
                <w:rFonts w:cs="B Nazanin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 w:rsidR="00136255" w:rsidRPr="00136255" w:rsidTr="0022502C">
        <w:trPr>
          <w:tblCellSpacing w:w="0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22502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>آموزش همگانی در راستای سلامت روان</w:t>
            </w:r>
          </w:p>
        </w:tc>
      </w:tr>
      <w:tr w:rsidR="00136255" w:rsidRPr="00136255" w:rsidTr="0022502C">
        <w:trPr>
          <w:tblCellSpacing w:w="0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22502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>مراقبت در بیماری‌های شایع روانپزشکی با تاکید بر افسردگی و اختلالات اضطرابی، اختلال بیش فعالی و اوتیسم</w:t>
            </w:r>
          </w:p>
        </w:tc>
      </w:tr>
      <w:tr w:rsidR="00136255" w:rsidRPr="00136255" w:rsidTr="0022502C">
        <w:trPr>
          <w:tblCellSpacing w:w="0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22502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>اپيدميولوژي، اتيولوژي و كنترل رفتارهاي پرخطر با تاكيد بر آموزش و تغيير نگرش</w:t>
            </w:r>
          </w:p>
        </w:tc>
      </w:tr>
      <w:tr w:rsidR="00136255" w:rsidRPr="00136255" w:rsidTr="0022502C">
        <w:trPr>
          <w:tblCellSpacing w:w="0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22502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 xml:space="preserve">اتيولوژي، اپيدميولوژي و كنترل بزهكاري و اختلالات رفتاري با تاكيد بر خشونت </w:t>
            </w:r>
          </w:p>
        </w:tc>
      </w:tr>
      <w:tr w:rsidR="00136255" w:rsidRPr="00136255" w:rsidTr="0022502C">
        <w:trPr>
          <w:tblCellSpacing w:w="0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22502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 xml:space="preserve">تاثیر مسایل روانی، فرهنگی و اجتماعی بر عملکرد تحصیلی </w:t>
            </w:r>
          </w:p>
        </w:tc>
      </w:tr>
      <w:tr w:rsidR="00136255" w:rsidRPr="00136255" w:rsidTr="0022502C">
        <w:trPr>
          <w:tblCellSpacing w:w="0" w:type="dxa"/>
        </w:trPr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22502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>ارتقاء سلامت روان و نقش مولفه‌های قانونی و اجتماعی (درآمد، فرهنگ، سواد، آموزش، جنسیت) بر سلامتی</w:t>
            </w:r>
          </w:p>
        </w:tc>
      </w:tr>
    </w:tbl>
    <w:p w:rsidR="00136255" w:rsidRDefault="00136255" w:rsidP="00136255">
      <w:pPr>
        <w:bidi/>
      </w:pPr>
    </w:p>
    <w:p w:rsidR="00136255" w:rsidRPr="009151E0" w:rsidRDefault="00136255" w:rsidP="00136255">
      <w:pPr>
        <w:bidi/>
        <w:rPr>
          <w:sz w:val="24"/>
          <w:szCs w:val="24"/>
        </w:rPr>
      </w:pPr>
      <w:r w:rsidRPr="009151E0">
        <w:rPr>
          <w:rFonts w:cs="B Titr"/>
          <w:b/>
          <w:bCs/>
          <w:color w:val="FF0000"/>
          <w:sz w:val="24"/>
          <w:szCs w:val="24"/>
          <w:rtl/>
        </w:rPr>
        <w:t>سالمندی</w:t>
      </w:r>
    </w:p>
    <w:tbl>
      <w:tblPr>
        <w:tblpPr w:leftFromText="45" w:rightFromText="45" w:vertAnchor="text" w:tblpXSpec="right" w:tblpYSpec="center"/>
        <w:bidiVisual/>
        <w:tblW w:w="491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110"/>
      </w:tblGrid>
      <w:tr w:rsidR="00136255" w:rsidRPr="00136255" w:rsidTr="0022502C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136255">
            <w:pPr>
              <w:bidi/>
              <w:rPr>
                <w:rFonts w:cs="B Nazanin"/>
                <w:sz w:val="24"/>
                <w:szCs w:val="24"/>
              </w:rPr>
            </w:pPr>
            <w:r w:rsidRPr="0022502C">
              <w:rPr>
                <w:rFonts w:cs="B Nazanin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4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 w:rsidR="00136255" w:rsidRPr="00136255" w:rsidTr="0022502C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22502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4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 xml:space="preserve">سبک زندگی،کیفیت زندگی و سلامت روان سالمندان </w:t>
            </w:r>
          </w:p>
        </w:tc>
      </w:tr>
      <w:tr w:rsidR="00136255" w:rsidRPr="00136255" w:rsidTr="0022502C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22502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4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 xml:space="preserve">مراقبت و مدیریت در اختلالات جسمی (با تاکید بر استئوپروز) و روانی شایع در سالمندی </w:t>
            </w:r>
          </w:p>
        </w:tc>
      </w:tr>
      <w:tr w:rsidR="00136255" w:rsidRPr="00136255" w:rsidTr="0022502C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22502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4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 xml:space="preserve">اختلالات شناختی شایع با تاکید بر پارکینسون، آلزایمر، دمانس </w:t>
            </w:r>
          </w:p>
        </w:tc>
      </w:tr>
      <w:tr w:rsidR="00136255" w:rsidRPr="00136255" w:rsidTr="0022502C">
        <w:trPr>
          <w:tblCellSpacing w:w="0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22502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4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255" w:rsidRPr="0022502C" w:rsidRDefault="00136255" w:rsidP="001362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2502C">
              <w:rPr>
                <w:rFonts w:cs="B Nazanin"/>
                <w:sz w:val="24"/>
                <w:szCs w:val="24"/>
                <w:rtl/>
              </w:rPr>
              <w:t xml:space="preserve">طراحی و آینده نگاری نظام ارائه خدمات سلامت مبتنی بر جمعیت سالمند </w:t>
            </w:r>
          </w:p>
        </w:tc>
      </w:tr>
    </w:tbl>
    <w:p w:rsidR="00136255" w:rsidRDefault="00136255" w:rsidP="00136255">
      <w:pPr>
        <w:bidi/>
      </w:pPr>
    </w:p>
    <w:sectPr w:rsidR="00136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55"/>
    <w:rsid w:val="00136255"/>
    <w:rsid w:val="0022502C"/>
    <w:rsid w:val="004F2148"/>
    <w:rsid w:val="0059095B"/>
    <w:rsid w:val="0062022A"/>
    <w:rsid w:val="0077404A"/>
    <w:rsid w:val="00887EB8"/>
    <w:rsid w:val="009151E0"/>
    <w:rsid w:val="00CE1DE2"/>
    <w:rsid w:val="00DF2BBB"/>
    <w:rsid w:val="00E07947"/>
    <w:rsid w:val="00E16D31"/>
    <w:rsid w:val="00E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DD019-7B59-4783-B975-667802EA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2020-01-07T10:31:00Z</dcterms:created>
  <dcterms:modified xsi:type="dcterms:W3CDTF">2020-01-08T10:04:00Z</dcterms:modified>
</cp:coreProperties>
</file>